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Heading: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Domain Ontology: Powering a Single Source of Truth for Enterprises with a Domain-Driven Approach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Subheading: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MECBot’s Domain Ontology makes it easy to navigate complex datasets by setting up domain rules, establishing context and relationships, &amp; creating a common vocabulary for all data users.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Content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In MECBot, the data journey begins with the Domain Ontology which provides a centralized and standardized way of sourcing and organizing data with respect to the domain of the business. It creates a common language for everyone in the domain so that everyone understands </w:t>
      </w:r>
      <w:r w:rsidDel="00000000" w:rsidR="00000000" w:rsidRPr="00000000">
        <w:rPr>
          <w:rtl w:val="0"/>
        </w:rPr>
        <w:t xml:space="preserve">th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rtl w:val="0"/>
        </w:rPr>
        <w:t xml:space="preserve">underlying context of datasets and how different datasets</w:t>
      </w:r>
      <w:r w:rsidDel="00000000" w:rsidR="00000000" w:rsidRPr="00000000">
        <w:rPr>
          <w:rtl w:val="0"/>
        </w:rPr>
        <w:t xml:space="preserve"> fit together. MECBot’s Domain Ontology eliminates the necessity for fragmented one-to-one mappings between datasets and applications, allowing data scientists and application builders to work from a </w:t>
      </w:r>
      <w:r w:rsidDel="00000000" w:rsidR="00000000" w:rsidRPr="00000000">
        <w:rPr>
          <w:rtl w:val="0"/>
        </w:rPr>
        <w:t xml:space="preserve">single source of truth</w:t>
      </w:r>
      <w:r w:rsidDel="00000000" w:rsidR="00000000" w:rsidRPr="00000000">
        <w:rPr>
          <w:rtl w:val="0"/>
        </w:rPr>
        <w:t xml:space="preserve"> that is secure and remains hydrated in real-time.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The video below gives an overview of MECBot’s Domain Ontology and how it makes our award-winning product a potent tool for domain teams and data teams alike.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